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EE2912D"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4C1B6D">
        <w:rPr>
          <w:rFonts w:ascii="Arial" w:hAnsi="Arial" w:cs="Arial"/>
          <w:b/>
          <w:bCs/>
          <w:sz w:val="24"/>
          <w:szCs w:val="24"/>
        </w:rPr>
        <w:t>6</w:t>
      </w:r>
      <w:r w:rsidR="00DF7FB6" w:rsidRPr="00F76B76">
        <w:rPr>
          <w:rFonts w:ascii="Arial" w:hAnsi="Arial" w:cs="Arial"/>
          <w:b/>
          <w:bCs/>
          <w:sz w:val="24"/>
          <w:szCs w:val="24"/>
        </w:rPr>
        <w:tab/>
      </w:r>
      <w:r w:rsidR="0093531A" w:rsidRPr="0093531A">
        <w:rPr>
          <w:rFonts w:ascii="Arial" w:hAnsi="Arial" w:cs="Arial"/>
          <w:b/>
          <w:bCs/>
          <w:sz w:val="24"/>
          <w:szCs w:val="24"/>
        </w:rPr>
        <w:t>S2-19</w:t>
      </w:r>
      <w:r w:rsidR="00245987">
        <w:rPr>
          <w:rFonts w:ascii="Arial" w:hAnsi="Arial" w:cs="Arial"/>
          <w:b/>
          <w:bCs/>
          <w:sz w:val="24"/>
          <w:szCs w:val="24"/>
        </w:rPr>
        <w:t>11216</w:t>
      </w:r>
    </w:p>
    <w:p w14:paraId="45DD8217" w14:textId="5A07B4D9" w:rsidR="00DF7FB6" w:rsidRPr="00F76B76" w:rsidRDefault="004C1B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 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72FCA93"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1421DD">
        <w:rPr>
          <w:rFonts w:ascii="Arial" w:hAnsi="Arial" w:cs="Arial"/>
          <w:b/>
        </w:rPr>
        <w:t>, Qualcomm</w:t>
      </w:r>
    </w:p>
    <w:p w14:paraId="0D145CCB" w14:textId="44E833F4" w:rsidR="004C3206" w:rsidRDefault="00440983">
      <w:pPr>
        <w:ind w:left="2127" w:hanging="2127"/>
        <w:rPr>
          <w:rFonts w:ascii="Arial" w:hAnsi="Arial" w:cs="Arial"/>
          <w:b/>
        </w:rPr>
      </w:pPr>
      <w:r>
        <w:rPr>
          <w:rFonts w:ascii="Arial" w:hAnsi="Arial" w:cs="Arial"/>
          <w:b/>
        </w:rPr>
        <w:t>Title:</w:t>
      </w:r>
      <w:r>
        <w:rPr>
          <w:rFonts w:ascii="Arial" w:hAnsi="Arial" w:cs="Arial"/>
          <w:b/>
        </w:rPr>
        <w:tab/>
      </w:r>
      <w:r w:rsidR="004C1B6D">
        <w:rPr>
          <w:rFonts w:ascii="Arial" w:hAnsi="Arial" w:cs="Arial"/>
          <w:b/>
        </w:rPr>
        <w:t>Way forward for Manufacturer assigned</w:t>
      </w:r>
      <w:r w:rsidR="00FB1830">
        <w:rPr>
          <w:rFonts w:ascii="Arial" w:hAnsi="Arial" w:cs="Arial"/>
          <w:b/>
        </w:rPr>
        <w:t xml:space="preserve"> </w:t>
      </w:r>
      <w:r w:rsidR="00DF4C28">
        <w:rPr>
          <w:rFonts w:ascii="Arial" w:hAnsi="Arial" w:cs="Arial"/>
          <w:b/>
        </w:rPr>
        <w:t xml:space="preserve">UE </w:t>
      </w:r>
      <w:r w:rsidR="004C1B6D">
        <w:rPr>
          <w:rFonts w:ascii="Arial" w:hAnsi="Arial" w:cs="Arial"/>
          <w:b/>
        </w:rPr>
        <w:t>Ra</w:t>
      </w:r>
      <w:r w:rsidR="00DF4C28">
        <w:rPr>
          <w:rFonts w:ascii="Arial" w:hAnsi="Arial" w:cs="Arial"/>
          <w:b/>
        </w:rPr>
        <w:t>dio Capability ID</w:t>
      </w:r>
      <w:r w:rsidR="004C3206">
        <w:rPr>
          <w:rFonts w:ascii="Arial" w:hAnsi="Arial" w:cs="Arial"/>
          <w:b/>
        </w:rPr>
        <w:t xml:space="preserve"> – why we need them and why transition.</w:t>
      </w:r>
    </w:p>
    <w:p w14:paraId="66B7AC98" w14:textId="68BF4704"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425E6E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3531A">
        <w:rPr>
          <w:rFonts w:ascii="Arial" w:hAnsi="Arial" w:cs="Arial"/>
          <w:b/>
        </w:rPr>
        <w:t>7.10.3</w:t>
      </w:r>
    </w:p>
    <w:p w14:paraId="58741374" w14:textId="694871A3" w:rsidR="00440983" w:rsidRPr="00AF2C41"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DF4C28">
        <w:rPr>
          <w:rFonts w:ascii="Arial" w:hAnsi="Arial" w:cs="Arial"/>
          <w:b/>
          <w:lang w:eastAsia="ko-KR"/>
        </w:rPr>
        <w:t>RACS</w:t>
      </w:r>
      <w:r w:rsidR="0093531A">
        <w:rPr>
          <w:rFonts w:ascii="Arial" w:hAnsi="Arial" w:cs="Arial"/>
          <w:b/>
          <w:lang w:eastAsia="ko-KR"/>
        </w:rPr>
        <w:t>/ Rel-16</w:t>
      </w:r>
    </w:p>
    <w:p w14:paraId="781B1DF5" w14:textId="1B1DF1DB" w:rsidR="00F70E87" w:rsidRPr="004C3206"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DF4C28">
        <w:rPr>
          <w:rFonts w:ascii="Arial" w:hAnsi="Arial" w:cs="Arial"/>
          <w:i/>
        </w:rPr>
        <w:t>this paper</w:t>
      </w:r>
      <w:bookmarkStart w:id="0" w:name="_Hlk23759072"/>
      <w:r w:rsidR="004C3206">
        <w:rPr>
          <w:rFonts w:ascii="Arial" w:hAnsi="Arial" w:cs="Arial"/>
          <w:i/>
        </w:rPr>
        <w:t xml:space="preserve"> discusses the motivation for </w:t>
      </w:r>
      <w:r w:rsidR="004C3206" w:rsidRPr="004C3206">
        <w:rPr>
          <w:rFonts w:ascii="Arial" w:hAnsi="Arial" w:cs="Arial"/>
          <w:i/>
        </w:rPr>
        <w:t>U</w:t>
      </w:r>
      <w:r w:rsidR="004C3206" w:rsidRPr="004C3206">
        <w:rPr>
          <w:i/>
        </w:rPr>
        <w:t>E Manufacturer Assigned UE Radio capability ID</w:t>
      </w:r>
      <w:r w:rsidR="004C3206">
        <w:rPr>
          <w:i/>
        </w:rPr>
        <w:t xml:space="preserve"> </w:t>
      </w:r>
      <w:proofErr w:type="gramStart"/>
      <w:r w:rsidR="004C3206">
        <w:rPr>
          <w:i/>
        </w:rPr>
        <w:t>and also</w:t>
      </w:r>
      <w:proofErr w:type="gramEnd"/>
      <w:r w:rsidR="004C3206">
        <w:rPr>
          <w:i/>
        </w:rPr>
        <w:t xml:space="preserve"> of a transition mechanism between PLMN assigned and Manufacturer Assigned IDs</w:t>
      </w:r>
    </w:p>
    <w:bookmarkEnd w:id="0"/>
    <w:p w14:paraId="43593185" w14:textId="530CEF6E" w:rsidR="00387FDA" w:rsidRDefault="00F70227" w:rsidP="00AF4567">
      <w:pPr>
        <w:pStyle w:val="Heading1"/>
      </w:pPr>
      <w:r>
        <w:t>Discussion</w:t>
      </w:r>
    </w:p>
    <w:p w14:paraId="564693DA" w14:textId="3EEDA12F" w:rsidR="004C3206" w:rsidRDefault="004C3206" w:rsidP="001E51F6">
      <w:r>
        <w:t>At SA2#135 a discussion took place on why we need Manufacturer assigned ID and whether they are justified against the additional complexity of supporting there. This paper would like to remind the reasons why these are introduced and why a transition mechanism is required.</w:t>
      </w:r>
    </w:p>
    <w:p w14:paraId="0479E47E" w14:textId="4FAA1EA0" w:rsidR="004C3206" w:rsidRDefault="004C3206" w:rsidP="004C3206">
      <w:pPr>
        <w:numPr>
          <w:ilvl w:val="0"/>
          <w:numId w:val="36"/>
        </w:numPr>
      </w:pPr>
      <w:r>
        <w:t xml:space="preserve">Manufacturer assigned IDs that are used in a PLMN work in every region of the PLMN for the used radio configuration. So, this guarantees that there is no need to upload any UE Radio capability Information anywhere in the PLMN even if locally the RAN uses a different UE radio capability filtering. In short, this is immune from not adopting a PLMN-wide filtering and eliminates the need to transmit any UE radio Capability information over the RAN. </w:t>
      </w:r>
    </w:p>
    <w:p w14:paraId="4C65AD9A" w14:textId="6B35574F" w:rsidR="004C3206" w:rsidRDefault="004C3206" w:rsidP="004C3206">
      <w:pPr>
        <w:numPr>
          <w:ilvl w:val="0"/>
          <w:numId w:val="36"/>
        </w:numPr>
      </w:pPr>
      <w:r>
        <w:t>Overall, since this is insensitive to the filtering applied by the RAN, it also should yield a smaller number of IDs stored in the CN</w:t>
      </w:r>
      <w:r w:rsidR="00040C90">
        <w:t xml:space="preserve"> and UCMF</w:t>
      </w:r>
      <w:r>
        <w:t>.</w:t>
      </w:r>
    </w:p>
    <w:p w14:paraId="6EA5661C" w14:textId="19194012" w:rsidR="004C3206" w:rsidRDefault="004C3206" w:rsidP="004C3206">
      <w:pPr>
        <w:numPr>
          <w:ilvl w:val="0"/>
          <w:numId w:val="36"/>
        </w:numPr>
      </w:pPr>
      <w:r>
        <w:t>The RAN has no need to figure out what capabilities are missing (i.e. all the capabilities that apply for the UE current radio configuration are identified by the Manufacturer Assigned ID, while a PLMN assigned I</w:t>
      </w:r>
      <w:r w:rsidR="00040C90">
        <w:t>D</w:t>
      </w:r>
      <w:r>
        <w:t xml:space="preserve"> is related to a filter and if the filter is not the same as used in the current RAN the RAN may need to retrieve further capabilities with its own filter), so the RAN has less processing to execute in order to figure out the suitability of the information received by inspecting the ID to capabilities mapping.</w:t>
      </w:r>
    </w:p>
    <w:p w14:paraId="29929A29" w14:textId="77777777" w:rsidR="00864BAC" w:rsidRPr="00864BAC" w:rsidRDefault="004C3206" w:rsidP="00DE0BA4">
      <w:pPr>
        <w:numPr>
          <w:ilvl w:val="0"/>
          <w:numId w:val="36"/>
        </w:numPr>
        <w:rPr>
          <w:color w:val="auto"/>
          <w:lang w:val="en-US" w:eastAsia="en-GB"/>
        </w:rPr>
      </w:pPr>
      <w:r>
        <w:t>Since the UE Manufacturer Assigned UE Radio capability ID applies across PLMNs, there is no need</w:t>
      </w:r>
      <w:r w:rsidR="00040C90">
        <w:t>, in principle,</w:t>
      </w:r>
      <w:r>
        <w:t xml:space="preserve"> to store different IDs for different PLMNs.</w:t>
      </w:r>
      <w:bookmarkStart w:id="1" w:name="_Hlk23939412"/>
    </w:p>
    <w:p w14:paraId="3B438AE1" w14:textId="30CC52D6" w:rsidR="0056209D" w:rsidRPr="00864BAC" w:rsidRDefault="0056209D" w:rsidP="00DE0BA4">
      <w:pPr>
        <w:numPr>
          <w:ilvl w:val="0"/>
          <w:numId w:val="36"/>
        </w:numPr>
        <w:rPr>
          <w:color w:val="auto"/>
          <w:lang w:val="en-US" w:eastAsia="en-GB"/>
        </w:rPr>
      </w:pPr>
      <w:r w:rsidRPr="00864BAC">
        <w:rPr>
          <w:lang w:val="en-US"/>
        </w:rPr>
        <w:t xml:space="preserve">Using Manufacturer Assigned UE Radio Capability is the only mechanism to ensure that no radio capabilities are ever </w:t>
      </w:r>
      <w:proofErr w:type="spellStart"/>
      <w:r w:rsidRPr="00864BAC">
        <w:rPr>
          <w:lang w:val="en-US"/>
        </w:rPr>
        <w:t>signalled</w:t>
      </w:r>
      <w:proofErr w:type="spellEnd"/>
      <w:r w:rsidRPr="00864BAC">
        <w:rPr>
          <w:lang w:val="en-US"/>
        </w:rPr>
        <w:t xml:space="preserve"> over the air and therefore does not load the RAN with </w:t>
      </w:r>
      <w:proofErr w:type="spellStart"/>
      <w:r w:rsidRPr="00864BAC">
        <w:rPr>
          <w:lang w:val="en-US"/>
        </w:rPr>
        <w:t>signalling</w:t>
      </w:r>
      <w:proofErr w:type="spellEnd"/>
      <w:r w:rsidRPr="00864BAC">
        <w:rPr>
          <w:lang w:val="en-US"/>
        </w:rPr>
        <w:t xml:space="preserve"> of radio capabilities larger than 8K/9K octets of the PDCP frame size.</w:t>
      </w:r>
    </w:p>
    <w:bookmarkEnd w:id="1"/>
    <w:p w14:paraId="5615887F" w14:textId="40958C36" w:rsidR="00040C90" w:rsidRDefault="00040C90" w:rsidP="00040C90">
      <w:r>
        <w:t xml:space="preserve">Against these benefits, of course there is a process that needs to be followed to deploy the UE Manufacturer Assigned UE Radio capability IDs in the PLMN. This is described in a companion paper </w:t>
      </w:r>
      <w:r w:rsidR="00360015" w:rsidRPr="00360015">
        <w:t>S2-1911219</w:t>
      </w:r>
      <w:r>
        <w:t xml:space="preserve"> However this process can be quite automated by the means of NEF offered APIs</w:t>
      </w:r>
    </w:p>
    <w:p w14:paraId="27C687F9" w14:textId="66B9AB24" w:rsidR="00040C90" w:rsidRDefault="00040C90" w:rsidP="00040C90">
      <w:r>
        <w:t xml:space="preserve">A transition mechanism </w:t>
      </w:r>
      <w:r w:rsidR="006F51C3">
        <w:t xml:space="preserve">may be </w:t>
      </w:r>
      <w:r>
        <w:t xml:space="preserve">required </w:t>
      </w:r>
      <w:r w:rsidR="006F51C3">
        <w:t>in the</w:t>
      </w:r>
      <w:r>
        <w:t xml:space="preserve"> following </w:t>
      </w:r>
      <w:r w:rsidR="006F51C3">
        <w:t>cases</w:t>
      </w:r>
      <w:r>
        <w:t>:</w:t>
      </w:r>
    </w:p>
    <w:p w14:paraId="1D7CCF14" w14:textId="303B22CB" w:rsidR="00040C90" w:rsidRDefault="00040C90" w:rsidP="00040C90">
      <w:pPr>
        <w:numPr>
          <w:ilvl w:val="0"/>
          <w:numId w:val="37"/>
        </w:numPr>
      </w:pPr>
      <w:r>
        <w:t xml:space="preserve">It is not possible to assume that all operators use the Manufacturer assigned ID as soon as the first UE model comes to market with this capability. </w:t>
      </w:r>
      <w:r w:rsidR="00360015">
        <w:t>So,</w:t>
      </w:r>
      <w:r>
        <w:t xml:space="preserve"> there can be a non-uniform adoption</w:t>
      </w:r>
      <w:r w:rsidR="00360015">
        <w:t xml:space="preserve"> and</w:t>
      </w:r>
      <w:r>
        <w:t xml:space="preserve"> there can be UEs that are capable of UE Manufacturer Assigned UE Radio capability ID but operate</w:t>
      </w:r>
      <w:r w:rsidR="00360015">
        <w:t xml:space="preserve"> in a PLMN</w:t>
      </w:r>
      <w:r>
        <w:t xml:space="preserve"> in PLMN assigned ID mode till the operator decides </w:t>
      </w:r>
      <w:bookmarkStart w:id="2" w:name="_GoBack"/>
      <w:bookmarkEnd w:id="2"/>
      <w:r>
        <w:t xml:space="preserve">to use UE Manufacturer Assigned UE Radio capability ID I for the UE model. </w:t>
      </w:r>
    </w:p>
    <w:p w14:paraId="07162E68" w14:textId="7BE76807" w:rsidR="00040C90" w:rsidRDefault="00040C90" w:rsidP="00040C90">
      <w:pPr>
        <w:numPr>
          <w:ilvl w:val="0"/>
          <w:numId w:val="37"/>
        </w:numPr>
      </w:pPr>
      <w:r>
        <w:t>If the operator decides to deploy a database of IDs for a specific UE vendor, it may be worth transitioning all the UE models for the same UE vendor which are UE Manufacturer Assigned UE Radio capability ID capable.</w:t>
      </w:r>
    </w:p>
    <w:p w14:paraId="5BFD578D" w14:textId="778EE095" w:rsidR="00040C90" w:rsidRDefault="007263D7" w:rsidP="00040C90">
      <w:pPr>
        <w:numPr>
          <w:ilvl w:val="0"/>
          <w:numId w:val="37"/>
        </w:numPr>
      </w:pPr>
      <w:r>
        <w:t>During the network operation</w:t>
      </w:r>
      <w:r w:rsidR="00040C90">
        <w:t xml:space="preserve"> some error may happen, and, in that case, a specific TAC may be returned to PLMN assigned mode or never use PLMN assigned mode for a certain UE radio configuration that has a wrong ID. To cater for this PLMN assigned Id ensured smooth operation for the TAC till this error is fixed. And at that point transition to manufacturer assigned mode can take place again.</w:t>
      </w:r>
    </w:p>
    <w:p w14:paraId="309CE6C9" w14:textId="1C445CF1" w:rsidR="00F31924" w:rsidRDefault="00F31924" w:rsidP="00F31924">
      <w:pPr>
        <w:pStyle w:val="Heading1"/>
      </w:pPr>
      <w:r>
        <w:lastRenderedPageBreak/>
        <w:t>Propos</w:t>
      </w:r>
      <w:r w:rsidR="001A0078">
        <w:t>al</w:t>
      </w:r>
    </w:p>
    <w:p w14:paraId="1F14D9CC" w14:textId="4EA110E4" w:rsidR="001A0078" w:rsidRDefault="00DA520C" w:rsidP="001A0078">
      <w:r>
        <w:t xml:space="preserve">It is proposed that </w:t>
      </w:r>
      <w:r w:rsidR="001E51F6">
        <w:t xml:space="preserve">the above </w:t>
      </w:r>
      <w:r w:rsidR="00040C90">
        <w:t>is discussed and it is reconfirmed we need a Manufacturer assigned UE radio capability ID.</w:t>
      </w:r>
    </w:p>
    <w:sectPr w:rsidR="001A007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B3EB1" w14:textId="77777777" w:rsidR="00772300" w:rsidRDefault="00772300">
      <w:r>
        <w:separator/>
      </w:r>
    </w:p>
    <w:p w14:paraId="1A50DBF4" w14:textId="77777777" w:rsidR="00772300" w:rsidRDefault="00772300"/>
  </w:endnote>
  <w:endnote w:type="continuationSeparator" w:id="0">
    <w:p w14:paraId="0CB59203" w14:textId="77777777" w:rsidR="00772300" w:rsidRDefault="00772300">
      <w:r>
        <w:continuationSeparator/>
      </w:r>
    </w:p>
    <w:p w14:paraId="2CAF3EBB" w14:textId="77777777" w:rsidR="00772300" w:rsidRDefault="00772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F3852" w14:textId="77777777" w:rsidR="00772300" w:rsidRDefault="00772300">
      <w:r>
        <w:separator/>
      </w:r>
    </w:p>
    <w:p w14:paraId="64709088" w14:textId="77777777" w:rsidR="00772300" w:rsidRDefault="00772300"/>
  </w:footnote>
  <w:footnote w:type="continuationSeparator" w:id="0">
    <w:p w14:paraId="4E4DA285" w14:textId="77777777" w:rsidR="00772300" w:rsidRDefault="00772300">
      <w:r>
        <w:continuationSeparator/>
      </w:r>
    </w:p>
    <w:p w14:paraId="1360AA1A" w14:textId="77777777" w:rsidR="00772300" w:rsidRDefault="00772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2E2464"/>
    <w:multiLevelType w:val="hybridMultilevel"/>
    <w:tmpl w:val="BB821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185127"/>
    <w:multiLevelType w:val="hybridMultilevel"/>
    <w:tmpl w:val="9DDA64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EFF5DE7"/>
    <w:multiLevelType w:val="hybridMultilevel"/>
    <w:tmpl w:val="6E7AB7B6"/>
    <w:lvl w:ilvl="0" w:tplc="49C22E1E">
      <w:start w:val="1"/>
      <w:numFmt w:val="bullet"/>
      <w:lvlText w:val="•"/>
      <w:lvlJc w:val="left"/>
      <w:pPr>
        <w:tabs>
          <w:tab w:val="num" w:pos="720"/>
        </w:tabs>
        <w:ind w:left="720" w:hanging="360"/>
      </w:pPr>
      <w:rPr>
        <w:rFonts w:ascii="Arial" w:hAnsi="Arial" w:hint="default"/>
      </w:rPr>
    </w:lvl>
    <w:lvl w:ilvl="1" w:tplc="8BA6E270">
      <w:start w:val="100"/>
      <w:numFmt w:val="bullet"/>
      <w:lvlText w:val="•"/>
      <w:lvlJc w:val="left"/>
      <w:pPr>
        <w:tabs>
          <w:tab w:val="num" w:pos="1440"/>
        </w:tabs>
        <w:ind w:left="1440" w:hanging="360"/>
      </w:pPr>
      <w:rPr>
        <w:rFonts w:ascii="Arial" w:hAnsi="Arial" w:hint="default"/>
      </w:rPr>
    </w:lvl>
    <w:lvl w:ilvl="2" w:tplc="A472384E">
      <w:start w:val="1"/>
      <w:numFmt w:val="bullet"/>
      <w:lvlText w:val="•"/>
      <w:lvlJc w:val="left"/>
      <w:pPr>
        <w:tabs>
          <w:tab w:val="num" w:pos="2160"/>
        </w:tabs>
        <w:ind w:left="2160" w:hanging="360"/>
      </w:pPr>
      <w:rPr>
        <w:rFonts w:ascii="Arial" w:hAnsi="Arial" w:hint="default"/>
      </w:rPr>
    </w:lvl>
    <w:lvl w:ilvl="3" w:tplc="59323550" w:tentative="1">
      <w:start w:val="1"/>
      <w:numFmt w:val="bullet"/>
      <w:lvlText w:val="•"/>
      <w:lvlJc w:val="left"/>
      <w:pPr>
        <w:tabs>
          <w:tab w:val="num" w:pos="2880"/>
        </w:tabs>
        <w:ind w:left="2880" w:hanging="360"/>
      </w:pPr>
      <w:rPr>
        <w:rFonts w:ascii="Arial" w:hAnsi="Arial" w:hint="default"/>
      </w:rPr>
    </w:lvl>
    <w:lvl w:ilvl="4" w:tplc="8480BEEA" w:tentative="1">
      <w:start w:val="1"/>
      <w:numFmt w:val="bullet"/>
      <w:lvlText w:val="•"/>
      <w:lvlJc w:val="left"/>
      <w:pPr>
        <w:tabs>
          <w:tab w:val="num" w:pos="3600"/>
        </w:tabs>
        <w:ind w:left="3600" w:hanging="360"/>
      </w:pPr>
      <w:rPr>
        <w:rFonts w:ascii="Arial" w:hAnsi="Arial" w:hint="default"/>
      </w:rPr>
    </w:lvl>
    <w:lvl w:ilvl="5" w:tplc="A3CC4E14" w:tentative="1">
      <w:start w:val="1"/>
      <w:numFmt w:val="bullet"/>
      <w:lvlText w:val="•"/>
      <w:lvlJc w:val="left"/>
      <w:pPr>
        <w:tabs>
          <w:tab w:val="num" w:pos="4320"/>
        </w:tabs>
        <w:ind w:left="4320" w:hanging="360"/>
      </w:pPr>
      <w:rPr>
        <w:rFonts w:ascii="Arial" w:hAnsi="Arial" w:hint="default"/>
      </w:rPr>
    </w:lvl>
    <w:lvl w:ilvl="6" w:tplc="CA3E3150" w:tentative="1">
      <w:start w:val="1"/>
      <w:numFmt w:val="bullet"/>
      <w:lvlText w:val="•"/>
      <w:lvlJc w:val="left"/>
      <w:pPr>
        <w:tabs>
          <w:tab w:val="num" w:pos="5040"/>
        </w:tabs>
        <w:ind w:left="5040" w:hanging="360"/>
      </w:pPr>
      <w:rPr>
        <w:rFonts w:ascii="Arial" w:hAnsi="Arial" w:hint="default"/>
      </w:rPr>
    </w:lvl>
    <w:lvl w:ilvl="7" w:tplc="1F6CB682" w:tentative="1">
      <w:start w:val="1"/>
      <w:numFmt w:val="bullet"/>
      <w:lvlText w:val="•"/>
      <w:lvlJc w:val="left"/>
      <w:pPr>
        <w:tabs>
          <w:tab w:val="num" w:pos="5760"/>
        </w:tabs>
        <w:ind w:left="5760" w:hanging="360"/>
      </w:pPr>
      <w:rPr>
        <w:rFonts w:ascii="Arial" w:hAnsi="Arial" w:hint="default"/>
      </w:rPr>
    </w:lvl>
    <w:lvl w:ilvl="8" w:tplc="52A4D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31"/>
  </w:num>
  <w:num w:numId="4">
    <w:abstractNumId w:val="21"/>
  </w:num>
  <w:num w:numId="5">
    <w:abstractNumId w:val="33"/>
  </w:num>
  <w:num w:numId="6">
    <w:abstractNumId w:val="12"/>
  </w:num>
  <w:num w:numId="7">
    <w:abstractNumId w:val="32"/>
  </w:num>
  <w:num w:numId="8">
    <w:abstractNumId w:val="26"/>
  </w:num>
  <w:num w:numId="9">
    <w:abstractNumId w:val="36"/>
  </w:num>
  <w:num w:numId="10">
    <w:abstractNumId w:val="15"/>
  </w:num>
  <w:num w:numId="11">
    <w:abstractNumId w:val="34"/>
  </w:num>
  <w:num w:numId="12">
    <w:abstractNumId w:val="17"/>
  </w:num>
  <w:num w:numId="13">
    <w:abstractNumId w:val="16"/>
  </w:num>
  <w:num w:numId="14">
    <w:abstractNumId w:val="10"/>
  </w:num>
  <w:num w:numId="15">
    <w:abstractNumId w:val="22"/>
  </w:num>
  <w:num w:numId="16">
    <w:abstractNumId w:val="27"/>
  </w:num>
  <w:num w:numId="17">
    <w:abstractNumId w:val="35"/>
  </w:num>
  <w:num w:numId="18">
    <w:abstractNumId w:val="29"/>
  </w:num>
  <w:num w:numId="19">
    <w:abstractNumId w:val="18"/>
  </w:num>
  <w:num w:numId="20">
    <w:abstractNumId w:val="24"/>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0"/>
  </w:num>
  <w:num w:numId="33">
    <w:abstractNumId w:val="23"/>
  </w:num>
  <w:num w:numId="34">
    <w:abstractNumId w:val="20"/>
  </w:num>
  <w:num w:numId="35">
    <w:abstractNumId w:val="28"/>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0C90"/>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1F23"/>
    <w:rsid w:val="00122874"/>
    <w:rsid w:val="001230D3"/>
    <w:rsid w:val="001246C8"/>
    <w:rsid w:val="00125A05"/>
    <w:rsid w:val="00131774"/>
    <w:rsid w:val="00131DDE"/>
    <w:rsid w:val="001357A6"/>
    <w:rsid w:val="00135A80"/>
    <w:rsid w:val="0014063D"/>
    <w:rsid w:val="001421D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7FF"/>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1F6"/>
    <w:rsid w:val="001E5B3C"/>
    <w:rsid w:val="001E60AC"/>
    <w:rsid w:val="001E61C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5987"/>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1BFC"/>
    <w:rsid w:val="00262262"/>
    <w:rsid w:val="00263016"/>
    <w:rsid w:val="00263A44"/>
    <w:rsid w:val="00264146"/>
    <w:rsid w:val="00264B09"/>
    <w:rsid w:val="0026552D"/>
    <w:rsid w:val="0026747D"/>
    <w:rsid w:val="00267AE2"/>
    <w:rsid w:val="0027123F"/>
    <w:rsid w:val="00271724"/>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0B33"/>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A4"/>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015"/>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182E"/>
    <w:rsid w:val="004A3CB3"/>
    <w:rsid w:val="004A6FF1"/>
    <w:rsid w:val="004B00C3"/>
    <w:rsid w:val="004B28AE"/>
    <w:rsid w:val="004B3B33"/>
    <w:rsid w:val="004B64D5"/>
    <w:rsid w:val="004B71E4"/>
    <w:rsid w:val="004B7F90"/>
    <w:rsid w:val="004C0A31"/>
    <w:rsid w:val="004C1B6D"/>
    <w:rsid w:val="004C3206"/>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0389"/>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09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96A94"/>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51C3"/>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4B81"/>
    <w:rsid w:val="0072623F"/>
    <w:rsid w:val="007263D7"/>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57456"/>
    <w:rsid w:val="007606E1"/>
    <w:rsid w:val="00760CD2"/>
    <w:rsid w:val="00762650"/>
    <w:rsid w:val="0076327F"/>
    <w:rsid w:val="00764326"/>
    <w:rsid w:val="007665C0"/>
    <w:rsid w:val="00766C18"/>
    <w:rsid w:val="007674C9"/>
    <w:rsid w:val="00771296"/>
    <w:rsid w:val="00772300"/>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93A"/>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BAC"/>
    <w:rsid w:val="00864ED6"/>
    <w:rsid w:val="00865A2B"/>
    <w:rsid w:val="00865ACA"/>
    <w:rsid w:val="00866300"/>
    <w:rsid w:val="00867338"/>
    <w:rsid w:val="008679C3"/>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31A"/>
    <w:rsid w:val="00935401"/>
    <w:rsid w:val="009369E6"/>
    <w:rsid w:val="00937E79"/>
    <w:rsid w:val="0094096F"/>
    <w:rsid w:val="0094294E"/>
    <w:rsid w:val="00943BFE"/>
    <w:rsid w:val="00943F17"/>
    <w:rsid w:val="0094404F"/>
    <w:rsid w:val="00944616"/>
    <w:rsid w:val="00944A7F"/>
    <w:rsid w:val="00946126"/>
    <w:rsid w:val="009461CE"/>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4FBA"/>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083D"/>
    <w:rsid w:val="00AB1A04"/>
    <w:rsid w:val="00AB2AD9"/>
    <w:rsid w:val="00AB524F"/>
    <w:rsid w:val="00AB5775"/>
    <w:rsid w:val="00AB69E4"/>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0F77"/>
    <w:rsid w:val="00AF1E9B"/>
    <w:rsid w:val="00AF2C41"/>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093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54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413E"/>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520C"/>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3FC1"/>
    <w:rsid w:val="00DE44A1"/>
    <w:rsid w:val="00DE7FF2"/>
    <w:rsid w:val="00DF0A88"/>
    <w:rsid w:val="00DF0BF9"/>
    <w:rsid w:val="00DF0EE6"/>
    <w:rsid w:val="00DF0F52"/>
    <w:rsid w:val="00DF228C"/>
    <w:rsid w:val="00DF4C28"/>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43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6ECE"/>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0DE9"/>
    <w:rsid w:val="00FB1830"/>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UnresolvedMention">
    <w:name w:val="Unresolved Mention"/>
    <w:basedOn w:val="DefaultParagraphFont"/>
    <w:uiPriority w:val="99"/>
    <w:semiHidden/>
    <w:unhideWhenUsed/>
    <w:rsid w:val="00DF4C28"/>
    <w:rPr>
      <w:color w:val="605E5C"/>
      <w:shd w:val="clear" w:color="auto" w:fill="E1DFDD"/>
    </w:rPr>
  </w:style>
  <w:style w:type="character" w:styleId="FollowedHyperlink">
    <w:name w:val="FollowedHyperlink"/>
    <w:basedOn w:val="DefaultParagraphFont"/>
    <w:semiHidden/>
    <w:unhideWhenUsed/>
    <w:rsid w:val="00DF4C28"/>
    <w:rPr>
      <w:color w:val="954F72" w:themeColor="followedHyperlink"/>
      <w:u w:val="single"/>
    </w:rPr>
  </w:style>
  <w:style w:type="paragraph" w:styleId="ListParagraph">
    <w:name w:val="List Paragraph"/>
    <w:basedOn w:val="Normal"/>
    <w:uiPriority w:val="34"/>
    <w:qFormat/>
    <w:rsid w:val="008679C3"/>
    <w:pPr>
      <w:overflowPunct/>
      <w:autoSpaceDE/>
      <w:autoSpaceDN/>
      <w:adjustRightInd/>
      <w:spacing w:after="0"/>
      <w:ind w:left="720"/>
      <w:contextualSpacing/>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232152491">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2094082203">
      <w:bodyDiv w:val="1"/>
      <w:marLeft w:val="0"/>
      <w:marRight w:val="0"/>
      <w:marTop w:val="0"/>
      <w:marBottom w:val="0"/>
      <w:divBdr>
        <w:top w:val="none" w:sz="0" w:space="0" w:color="auto"/>
        <w:left w:val="none" w:sz="0" w:space="0" w:color="auto"/>
        <w:bottom w:val="none" w:sz="0" w:space="0" w:color="auto"/>
        <w:right w:val="none" w:sz="0" w:space="0" w:color="auto"/>
      </w:divBdr>
      <w:divsChild>
        <w:div w:id="1871262882">
          <w:marLeft w:val="360"/>
          <w:marRight w:val="0"/>
          <w:marTop w:val="200"/>
          <w:marBottom w:val="0"/>
          <w:divBdr>
            <w:top w:val="none" w:sz="0" w:space="0" w:color="auto"/>
            <w:left w:val="none" w:sz="0" w:space="0" w:color="auto"/>
            <w:bottom w:val="none" w:sz="0" w:space="0" w:color="auto"/>
            <w:right w:val="none" w:sz="0" w:space="0" w:color="auto"/>
          </w:divBdr>
        </w:div>
        <w:div w:id="245001629">
          <w:marLeft w:val="1080"/>
          <w:marRight w:val="0"/>
          <w:marTop w:val="100"/>
          <w:marBottom w:val="0"/>
          <w:divBdr>
            <w:top w:val="none" w:sz="0" w:space="0" w:color="auto"/>
            <w:left w:val="none" w:sz="0" w:space="0" w:color="auto"/>
            <w:bottom w:val="none" w:sz="0" w:space="0" w:color="auto"/>
            <w:right w:val="none" w:sz="0" w:space="0" w:color="auto"/>
          </w:divBdr>
        </w:div>
        <w:div w:id="1325664045">
          <w:marLeft w:val="1080"/>
          <w:marRight w:val="0"/>
          <w:marTop w:val="100"/>
          <w:marBottom w:val="0"/>
          <w:divBdr>
            <w:top w:val="none" w:sz="0" w:space="0" w:color="auto"/>
            <w:left w:val="none" w:sz="0" w:space="0" w:color="auto"/>
            <w:bottom w:val="none" w:sz="0" w:space="0" w:color="auto"/>
            <w:right w:val="none" w:sz="0" w:space="0" w:color="auto"/>
          </w:divBdr>
        </w:div>
        <w:div w:id="1332485776">
          <w:marLeft w:val="1080"/>
          <w:marRight w:val="0"/>
          <w:marTop w:val="100"/>
          <w:marBottom w:val="0"/>
          <w:divBdr>
            <w:top w:val="none" w:sz="0" w:space="0" w:color="auto"/>
            <w:left w:val="none" w:sz="0" w:space="0" w:color="auto"/>
            <w:bottom w:val="none" w:sz="0" w:space="0" w:color="auto"/>
            <w:right w:val="none" w:sz="0" w:space="0" w:color="auto"/>
          </w:divBdr>
        </w:div>
        <w:div w:id="998928372">
          <w:marLeft w:val="1080"/>
          <w:marRight w:val="0"/>
          <w:marTop w:val="100"/>
          <w:marBottom w:val="0"/>
          <w:divBdr>
            <w:top w:val="none" w:sz="0" w:space="0" w:color="auto"/>
            <w:left w:val="none" w:sz="0" w:space="0" w:color="auto"/>
            <w:bottom w:val="none" w:sz="0" w:space="0" w:color="auto"/>
            <w:right w:val="none" w:sz="0" w:space="0" w:color="auto"/>
          </w:divBdr>
        </w:div>
        <w:div w:id="844785714">
          <w:marLeft w:val="360"/>
          <w:marRight w:val="0"/>
          <w:marTop w:val="200"/>
          <w:marBottom w:val="0"/>
          <w:divBdr>
            <w:top w:val="none" w:sz="0" w:space="0" w:color="auto"/>
            <w:left w:val="none" w:sz="0" w:space="0" w:color="auto"/>
            <w:bottom w:val="none" w:sz="0" w:space="0" w:color="auto"/>
            <w:right w:val="none" w:sz="0" w:space="0" w:color="auto"/>
          </w:divBdr>
        </w:div>
        <w:div w:id="887180878">
          <w:marLeft w:val="1080"/>
          <w:marRight w:val="0"/>
          <w:marTop w:val="100"/>
          <w:marBottom w:val="0"/>
          <w:divBdr>
            <w:top w:val="none" w:sz="0" w:space="0" w:color="auto"/>
            <w:left w:val="none" w:sz="0" w:space="0" w:color="auto"/>
            <w:bottom w:val="none" w:sz="0" w:space="0" w:color="auto"/>
            <w:right w:val="none" w:sz="0" w:space="0" w:color="auto"/>
          </w:divBdr>
        </w:div>
        <w:div w:id="1713115628">
          <w:marLeft w:val="1080"/>
          <w:marRight w:val="0"/>
          <w:marTop w:val="100"/>
          <w:marBottom w:val="0"/>
          <w:divBdr>
            <w:top w:val="none" w:sz="0" w:space="0" w:color="auto"/>
            <w:left w:val="none" w:sz="0" w:space="0" w:color="auto"/>
            <w:bottom w:val="none" w:sz="0" w:space="0" w:color="auto"/>
            <w:right w:val="none" w:sz="0" w:space="0" w:color="auto"/>
          </w:divBdr>
        </w:div>
        <w:div w:id="756176977">
          <w:marLeft w:val="1080"/>
          <w:marRight w:val="0"/>
          <w:marTop w:val="100"/>
          <w:marBottom w:val="0"/>
          <w:divBdr>
            <w:top w:val="none" w:sz="0" w:space="0" w:color="auto"/>
            <w:left w:val="none" w:sz="0" w:space="0" w:color="auto"/>
            <w:bottom w:val="none" w:sz="0" w:space="0" w:color="auto"/>
            <w:right w:val="none" w:sz="0" w:space="0" w:color="auto"/>
          </w:divBdr>
        </w:div>
        <w:div w:id="722677465">
          <w:marLeft w:val="1080"/>
          <w:marRight w:val="0"/>
          <w:marTop w:val="100"/>
          <w:marBottom w:val="0"/>
          <w:divBdr>
            <w:top w:val="none" w:sz="0" w:space="0" w:color="auto"/>
            <w:left w:val="none" w:sz="0" w:space="0" w:color="auto"/>
            <w:bottom w:val="none" w:sz="0" w:space="0" w:color="auto"/>
            <w:right w:val="none" w:sz="0" w:space="0" w:color="auto"/>
          </w:divBdr>
        </w:div>
        <w:div w:id="31688106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A5960-1165-4114-A20C-1632B54EBCBD}">
  <ds:schemaRef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cc9c437c-ae0c-4066-8d90-a0f7de786127"/>
    <ds:schemaRef ds:uri="http://purl.org/dc/elements/1.1/"/>
    <ds:schemaRef ds:uri="http://purl.org/dc/term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30C8DF73-84CD-4469-8293-E98B31B37BE7}">
  <ds:schemaRefs>
    <ds:schemaRef ds:uri="http://schemas.microsoft.com/sharepoint/v3/contenttype/forms"/>
  </ds:schemaRefs>
</ds:datastoreItem>
</file>

<file path=customXml/itemProps3.xml><?xml version="1.0" encoding="utf-8"?>
<ds:datastoreItem xmlns:ds="http://schemas.openxmlformats.org/officeDocument/2006/customXml" ds:itemID="{96C5651D-C767-4E5D-8D1F-AC0CC814D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82C168-1204-46F5-909E-D1F23DA0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666</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11</cp:revision>
  <cp:lastPrinted>2017-01-31T19:04:00Z</cp:lastPrinted>
  <dcterms:created xsi:type="dcterms:W3CDTF">2019-11-05T13:30:00Z</dcterms:created>
  <dcterms:modified xsi:type="dcterms:W3CDTF">2019-11-08T14:13:00Z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ies>
</file>